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002B" w:rsidRPr="000E1154" w14:paraId="4D07E525" w14:textId="77777777" w:rsidTr="000E1FA2">
        <w:tc>
          <w:tcPr>
            <w:tcW w:w="9350" w:type="dxa"/>
            <w:shd w:val="clear" w:color="auto" w:fill="002060"/>
          </w:tcPr>
          <w:p w14:paraId="4056625A" w14:textId="77777777" w:rsidR="00E1002B" w:rsidRPr="000E1154" w:rsidRDefault="00E1002B" w:rsidP="000E1FA2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0E1154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Building’s Moving Procedures</w:t>
            </w:r>
          </w:p>
        </w:tc>
      </w:tr>
      <w:tr w:rsidR="00E1002B" w:rsidRPr="000E1154" w14:paraId="42DB5775" w14:textId="77777777" w:rsidTr="000E1FA2">
        <w:tc>
          <w:tcPr>
            <w:tcW w:w="9350" w:type="dxa"/>
          </w:tcPr>
          <w:p w14:paraId="42EE9D19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570DAE0F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Please review the following moving procedures prior to the move in date:</w:t>
            </w:r>
          </w:p>
        </w:tc>
      </w:tr>
      <w:tr w:rsidR="00E1002B" w:rsidRPr="000E1154" w14:paraId="4BC0860F" w14:textId="77777777" w:rsidTr="000E1FA2">
        <w:tc>
          <w:tcPr>
            <w:tcW w:w="9350" w:type="dxa"/>
          </w:tcPr>
          <w:p w14:paraId="73B6ED75" w14:textId="77777777" w:rsidR="00E1002B" w:rsidRPr="00804E0C" w:rsidRDefault="00E1002B" w:rsidP="00E1002B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0E1154" w14:paraId="43084313" w14:textId="77777777" w:rsidTr="000E1FA2">
        <w:tc>
          <w:tcPr>
            <w:tcW w:w="9350" w:type="dxa"/>
          </w:tcPr>
          <w:p w14:paraId="33E3BE4C" w14:textId="1FE4490B" w:rsidR="00E1002B" w:rsidRPr="00804E0C" w:rsidRDefault="00E1002B" w:rsidP="006B28B2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Moves must occur </w:t>
            </w:r>
            <w:r w:rsidR="00877A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before </w:t>
            </w:r>
            <w:r w:rsidR="000945C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6:00</w:t>
            </w:r>
            <w:r w:rsidR="00877A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a.m. or after </w:t>
            </w:r>
            <w:r w:rsidR="006D3F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="00877A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:00 p.m.</w:t>
            </w:r>
            <w:r w:rsidR="00B94F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Monday through Friday</w:t>
            </w:r>
            <w:r w:rsidR="00877A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or an</w:t>
            </w:r>
            <w:r w:rsidR="006D3F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</w:t>
            </w:r>
            <w:r w:rsidR="00877A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time with </w:t>
            </w:r>
            <w:r w:rsidR="006D3FB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</w:t>
            </w:r>
            <w:r w:rsidR="006B28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vanced notice 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 weekends.</w:t>
            </w:r>
          </w:p>
        </w:tc>
      </w:tr>
      <w:tr w:rsidR="00E1002B" w:rsidRPr="000E1154" w14:paraId="7BF26FD0" w14:textId="77777777" w:rsidTr="000E1FA2">
        <w:tc>
          <w:tcPr>
            <w:tcW w:w="9350" w:type="dxa"/>
          </w:tcPr>
          <w:p w14:paraId="0553D3D6" w14:textId="3D359D14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Tenant is responsible for supervising </w:t>
            </w:r>
            <w:r w:rsidR="006B28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their 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move and providing suite and building access.</w:t>
            </w:r>
          </w:p>
        </w:tc>
      </w:tr>
      <w:tr w:rsidR="00E1002B" w:rsidRPr="000E1154" w14:paraId="240CB7BF" w14:textId="77777777" w:rsidTr="000E1FA2">
        <w:tc>
          <w:tcPr>
            <w:tcW w:w="9350" w:type="dxa"/>
          </w:tcPr>
          <w:p w14:paraId="1EB86BCF" w14:textId="0477006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Floor</w:t>
            </w:r>
            <w:r w:rsidR="0028455E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wall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protection (i.e., Mas</w:t>
            </w:r>
            <w:r w:rsidR="00A54070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onite) must be used to cover common area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surfaces where items will be moved.</w:t>
            </w:r>
          </w:p>
        </w:tc>
      </w:tr>
      <w:tr w:rsidR="00E1002B" w:rsidRPr="000E1154" w14:paraId="587E65E9" w14:textId="77777777" w:rsidTr="000E1FA2">
        <w:tc>
          <w:tcPr>
            <w:tcW w:w="9350" w:type="dxa"/>
          </w:tcPr>
          <w:p w14:paraId="16F1E22C" w14:textId="61683294" w:rsidR="00E1002B" w:rsidRPr="00804E0C" w:rsidRDefault="00E1002B" w:rsidP="006B28B2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</w:t>
            </w:r>
            <w:r w:rsidR="00877A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notify </w:t>
            </w:r>
            <w:r w:rsidR="0089413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Building 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Management 48 hours</w:t>
            </w:r>
            <w:r w:rsidR="006B28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877A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prior if you would like to request management to provide any access necessary. </w:t>
            </w:r>
            <w:r w:rsidR="0019216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0E1154" w14:paraId="38AACFDE" w14:textId="77777777" w:rsidTr="000E1FA2">
        <w:tc>
          <w:tcPr>
            <w:tcW w:w="9350" w:type="dxa"/>
            <w:tcBorders>
              <w:bottom w:val="nil"/>
            </w:tcBorders>
          </w:tcPr>
          <w:p w14:paraId="409723BE" w14:textId="77777777" w:rsidR="00877ADD" w:rsidRDefault="00165D46" w:rsidP="00877ADD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>Loading Dock Information:</w:t>
            </w:r>
            <w:r w:rsidR="00804E0C"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1357E62B" w14:textId="77777777" w:rsidR="00877ADD" w:rsidRDefault="00804E0C" w:rsidP="00877ADD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77ADD">
              <w:rPr>
                <w:rFonts w:ascii="Calibri" w:eastAsia="Times New Roman" w:hAnsi="Calibri" w:cs="Calibri"/>
                <w:sz w:val="24"/>
                <w:szCs w:val="24"/>
              </w:rPr>
              <w:t>Movers must park in designated loading zones only:</w:t>
            </w:r>
            <w:r w:rsidR="006B28B2" w:rsidRPr="00877A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877ADD">
              <w:rPr>
                <w:rFonts w:ascii="Calibri" w:eastAsia="Times New Roman" w:hAnsi="Calibri" w:cs="Calibri"/>
                <w:sz w:val="24"/>
                <w:szCs w:val="24"/>
              </w:rPr>
              <w:t xml:space="preserve">601 City Center loading dock can be accessed of </w:t>
            </w:r>
            <w:proofErr w:type="spellStart"/>
            <w:r w:rsidR="00877ADD">
              <w:rPr>
                <w:rFonts w:ascii="Calibri" w:eastAsia="Times New Roman" w:hAnsi="Calibri" w:cs="Calibri"/>
                <w:sz w:val="24"/>
                <w:szCs w:val="24"/>
              </w:rPr>
              <w:t>of</w:t>
            </w:r>
            <w:proofErr w:type="spellEnd"/>
            <w:r w:rsidR="00877AD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894131" w:rsidRPr="00877ADD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  <w:r w:rsidR="00894131" w:rsidRPr="00877ADD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th</w:t>
            </w:r>
            <w:r w:rsidR="00894131" w:rsidRPr="00877ADD">
              <w:rPr>
                <w:rFonts w:ascii="Calibri" w:eastAsia="Times New Roman" w:hAnsi="Calibri" w:cs="Calibri"/>
                <w:sz w:val="24"/>
                <w:szCs w:val="24"/>
              </w:rPr>
              <w:t xml:space="preserve"> St</w:t>
            </w:r>
            <w:r w:rsidR="006B28B2" w:rsidRPr="00877ADD">
              <w:rPr>
                <w:rFonts w:ascii="Calibri" w:eastAsia="Times New Roman" w:hAnsi="Calibri" w:cs="Calibri"/>
                <w:sz w:val="24"/>
                <w:szCs w:val="24"/>
              </w:rPr>
              <w:t>r</w:t>
            </w:r>
            <w:r w:rsidR="00894131" w:rsidRPr="00877ADD">
              <w:rPr>
                <w:rFonts w:ascii="Calibri" w:eastAsia="Times New Roman" w:hAnsi="Calibri" w:cs="Calibri"/>
                <w:sz w:val="24"/>
                <w:szCs w:val="24"/>
              </w:rPr>
              <w:t>eet</w:t>
            </w:r>
            <w:r w:rsidR="00877ADD">
              <w:rPr>
                <w:rFonts w:ascii="Calibri" w:eastAsia="Times New Roman" w:hAnsi="Calibri" w:cs="Calibri"/>
                <w:sz w:val="24"/>
                <w:szCs w:val="24"/>
              </w:rPr>
              <w:t xml:space="preserve">, east of Martin Luther King Jr. Way. </w:t>
            </w:r>
          </w:p>
          <w:p w14:paraId="26FFF8B3" w14:textId="6937FF35" w:rsidR="00877ADD" w:rsidRDefault="00877ADD" w:rsidP="00877ADD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Maximum Dock Height 14’6”. </w:t>
            </w:r>
          </w:p>
          <w:p w14:paraId="041870C4" w14:textId="67D578FE" w:rsidR="002F414B" w:rsidRPr="00CF4924" w:rsidRDefault="00877ADD" w:rsidP="00CF4924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Maximum Truck Length 48’. </w:t>
            </w:r>
            <w:r w:rsidR="00894131" w:rsidRPr="00877ADD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E1002B" w:rsidRPr="000E1154" w14:paraId="3B7C1CB0" w14:textId="77777777" w:rsidTr="000E1FA2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387E37F5" w14:textId="77777777" w:rsidR="004B350E" w:rsidRDefault="00E1002B" w:rsidP="004B350E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62CE4">
              <w:rPr>
                <w:rFonts w:ascii="Calibri" w:eastAsia="Times New Roman" w:hAnsi="Calibri" w:cs="Calibri"/>
                <w:sz w:val="24"/>
                <w:szCs w:val="24"/>
              </w:rPr>
              <w:t xml:space="preserve">Elevator Information: </w:t>
            </w:r>
          </w:p>
          <w:p w14:paraId="51335F78" w14:textId="77777777" w:rsidR="00E1002B" w:rsidRDefault="00C10D65" w:rsidP="004B350E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>Access to the Building is limited to the freight elevator. THE FREIGHT ELEVATOR IS</w:t>
            </w:r>
            <w:r w:rsidR="00DF12D0" w:rsidRP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>NEVER RESERVED FOR EXCLUSIVE USE. It must be shared with other parties as</w:t>
            </w:r>
            <w:r w:rsid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>needed. If multiple moves are scheduled</w:t>
            </w:r>
            <w:r w:rsidR="006B28B2" w:rsidRP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at the same time</w:t>
            </w:r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>, we will work with the different companies</w:t>
            </w:r>
            <w:r w:rsidR="006B28B2" w:rsidRP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>involved</w:t>
            </w:r>
            <w:r w:rsidR="006B28B2" w:rsidRP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to</w:t>
            </w:r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have a schedule in </w:t>
            </w:r>
            <w:proofErr w:type="gramStart"/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>place</w:t>
            </w:r>
            <w:proofErr w:type="gramEnd"/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allowing everyone to complete their project</w:t>
            </w:r>
            <w:r w:rsidR="006B28B2" w:rsidRPr="004B350E"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as</w:t>
            </w:r>
            <w:r w:rsidR="006B28B2" w:rsidRPr="004B350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4B350E">
              <w:rPr>
                <w:rFonts w:ascii="Calibri" w:eastAsia="Times New Roman" w:hAnsi="Calibri" w:cs="Calibri"/>
                <w:sz w:val="24"/>
                <w:szCs w:val="24"/>
              </w:rPr>
              <w:t>quickly as possible.</w:t>
            </w:r>
          </w:p>
          <w:p w14:paraId="6DC23500" w14:textId="3B796867" w:rsidR="00324A51" w:rsidRDefault="00324A51" w:rsidP="00324A5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Interior Dimensions:</w:t>
            </w:r>
          </w:p>
          <w:p w14:paraId="1395BF6B" w14:textId="7F927DAC" w:rsidR="00324A51" w:rsidRDefault="00324A51" w:rsidP="00324A51">
            <w:pPr>
              <w:pStyle w:val="ListParagraph"/>
              <w:autoSpaceDE w:val="0"/>
              <w:autoSpaceDN w:val="0"/>
              <w:adjustRightInd w:val="0"/>
              <w:spacing w:after="12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Height 9’ 7”</w:t>
            </w:r>
          </w:p>
          <w:p w14:paraId="108278B6" w14:textId="184B8110" w:rsidR="00324A51" w:rsidRDefault="00324A51" w:rsidP="00324A51">
            <w:pPr>
              <w:pStyle w:val="ListParagraph"/>
              <w:autoSpaceDE w:val="0"/>
              <w:autoSpaceDN w:val="0"/>
              <w:adjustRightInd w:val="0"/>
              <w:spacing w:after="12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Width 5’ 11.5”</w:t>
            </w:r>
          </w:p>
          <w:p w14:paraId="3FFFCD56" w14:textId="77652D94" w:rsidR="00324A51" w:rsidRDefault="00324A51" w:rsidP="00324A51">
            <w:pPr>
              <w:pStyle w:val="ListParagraph"/>
              <w:autoSpaceDE w:val="0"/>
              <w:autoSpaceDN w:val="0"/>
              <w:adjustRightInd w:val="0"/>
              <w:spacing w:after="12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Depth 8’ 9.3”</w:t>
            </w:r>
          </w:p>
          <w:p w14:paraId="4E753318" w14:textId="7F06DD07" w:rsidR="00324A51" w:rsidRDefault="00324A51" w:rsidP="00324A5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Door Opening:</w:t>
            </w:r>
          </w:p>
          <w:p w14:paraId="34424173" w14:textId="04A5FE72" w:rsidR="00324A51" w:rsidRDefault="00324A51" w:rsidP="00324A51">
            <w:pPr>
              <w:pStyle w:val="ListParagraph"/>
              <w:autoSpaceDE w:val="0"/>
              <w:autoSpaceDN w:val="0"/>
              <w:adjustRightInd w:val="0"/>
              <w:spacing w:after="12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Height 8’ 0”</w:t>
            </w:r>
          </w:p>
          <w:p w14:paraId="1679A7C5" w14:textId="7B23B47A" w:rsidR="00324A51" w:rsidRPr="00324A51" w:rsidRDefault="00324A51" w:rsidP="00324A51">
            <w:pPr>
              <w:pStyle w:val="ListParagraph"/>
              <w:autoSpaceDE w:val="0"/>
              <w:autoSpaceDN w:val="0"/>
              <w:adjustRightInd w:val="0"/>
              <w:spacing w:after="12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Width 4’ 0”</w:t>
            </w:r>
          </w:p>
          <w:p w14:paraId="1902A504" w14:textId="77777777" w:rsidR="00324A51" w:rsidRDefault="00324A51" w:rsidP="004B350E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BDCAA3F" w14:textId="5438BEB6" w:rsidR="00324A51" w:rsidRPr="004B350E" w:rsidRDefault="00324A51" w:rsidP="004B350E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1002B" w:rsidRPr="000E1154" w14:paraId="062ADF90" w14:textId="77777777" w:rsidTr="000E1FA2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551B3" w14:textId="77777777" w:rsidR="00E1002B" w:rsidRPr="00F62CE4" w:rsidRDefault="00E1002B" w:rsidP="000E1FA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60E0BBD" w14:textId="31FDD9F6" w:rsidR="00E1002B" w:rsidRDefault="00894131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601 City Center </w:t>
            </w:r>
          </w:p>
          <w:p w14:paraId="729F720E" w14:textId="21FFACF8" w:rsidR="00894131" w:rsidRDefault="00894131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601 12</w:t>
            </w:r>
            <w:r w:rsidRPr="00894131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Street, Suite 275</w:t>
            </w:r>
          </w:p>
          <w:p w14:paraId="689B6FBF" w14:textId="6D11AAF4" w:rsidR="00894131" w:rsidRDefault="00894131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Oakland, CA 94607</w:t>
            </w:r>
          </w:p>
          <w:p w14:paraId="59D84D39" w14:textId="61F4F1B9" w:rsidR="00894131" w:rsidRDefault="00894131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510-488-3500</w:t>
            </w:r>
          </w:p>
          <w:p w14:paraId="0CEA1F9A" w14:textId="3336ACB2" w:rsidR="00894131" w:rsidRPr="00F62CE4" w:rsidRDefault="00894131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hyperlink r:id="rId10" w:history="1">
              <w:r w:rsidRPr="00FB6C7D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601CC@shorenstein.com</w:t>
              </w:r>
            </w:hyperlink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03E51387" w14:textId="77777777" w:rsidR="00E1002B" w:rsidRPr="00F62CE4" w:rsidRDefault="00E1002B" w:rsidP="000E1FA2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D2FD0A5" w14:textId="77777777" w:rsidR="00E1002B" w:rsidRDefault="00E1002B" w:rsidP="00E1002B">
      <w:pPr>
        <w:tabs>
          <w:tab w:val="left" w:pos="630"/>
        </w:tabs>
      </w:pPr>
    </w:p>
    <w:p w14:paraId="74225EA6" w14:textId="77777777" w:rsidR="001E233F" w:rsidRPr="00E1002B" w:rsidRDefault="001E233F" w:rsidP="00E1002B"/>
    <w:sectPr w:rsidR="001E233F" w:rsidRPr="00E1002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590B" w14:textId="77777777" w:rsidR="00FB3C6E" w:rsidRDefault="00FB3C6E">
      <w:pPr>
        <w:spacing w:after="0" w:line="240" w:lineRule="auto"/>
      </w:pPr>
      <w:r>
        <w:separator/>
      </w:r>
    </w:p>
  </w:endnote>
  <w:endnote w:type="continuationSeparator" w:id="0">
    <w:p w14:paraId="42C6FF81" w14:textId="77777777" w:rsidR="00FB3C6E" w:rsidRDefault="00FB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924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7181B852" w14:textId="4620DABE" w:rsidR="00835BB3" w:rsidRPr="00835BB3" w:rsidRDefault="00835BB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835BB3">
          <w:rPr>
            <w:sz w:val="20"/>
            <w:szCs w:val="20"/>
          </w:rPr>
          <w:fldChar w:fldCharType="begin"/>
        </w:r>
        <w:r w:rsidRPr="00835BB3">
          <w:rPr>
            <w:sz w:val="20"/>
            <w:szCs w:val="20"/>
          </w:rPr>
          <w:instrText xml:space="preserve"> PAGE   \* MERGEFORMAT </w:instrText>
        </w:r>
        <w:r w:rsidRPr="00835BB3">
          <w:rPr>
            <w:sz w:val="20"/>
            <w:szCs w:val="20"/>
          </w:rPr>
          <w:fldChar w:fldCharType="separate"/>
        </w:r>
        <w:r w:rsidR="006B28B2" w:rsidRPr="006B28B2">
          <w:rPr>
            <w:b/>
            <w:bCs/>
            <w:noProof/>
            <w:sz w:val="20"/>
            <w:szCs w:val="20"/>
          </w:rPr>
          <w:t>1</w:t>
        </w:r>
        <w:r w:rsidRPr="00835BB3">
          <w:rPr>
            <w:b/>
            <w:bCs/>
            <w:noProof/>
            <w:sz w:val="20"/>
            <w:szCs w:val="20"/>
          </w:rPr>
          <w:fldChar w:fldCharType="end"/>
        </w:r>
        <w:r w:rsidRPr="00835BB3">
          <w:rPr>
            <w:b/>
            <w:bCs/>
            <w:sz w:val="20"/>
            <w:szCs w:val="20"/>
          </w:rPr>
          <w:t xml:space="preserve"> | </w:t>
        </w:r>
        <w:r w:rsidRPr="00835BB3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06A1991" w14:textId="77777777" w:rsidR="00835BB3" w:rsidRDefault="00835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A117" w14:textId="77777777" w:rsidR="00FB3C6E" w:rsidRDefault="00FB3C6E">
      <w:pPr>
        <w:spacing w:after="0" w:line="240" w:lineRule="auto"/>
      </w:pPr>
      <w:r>
        <w:separator/>
      </w:r>
    </w:p>
  </w:footnote>
  <w:footnote w:type="continuationSeparator" w:id="0">
    <w:p w14:paraId="031CFC9E" w14:textId="77777777" w:rsidR="00FB3C6E" w:rsidRDefault="00FB3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4A5E" w14:textId="77777777" w:rsidR="00324A51" w:rsidRDefault="00E100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324A51" w:rsidRDefault="00324A51">
    <w:pPr>
      <w:pStyle w:val="Header"/>
    </w:pPr>
  </w:p>
  <w:p w14:paraId="52C41256" w14:textId="77777777" w:rsidR="00324A51" w:rsidRDefault="00324A51">
    <w:pPr>
      <w:pStyle w:val="Header"/>
    </w:pPr>
  </w:p>
  <w:p w14:paraId="47005AB6" w14:textId="77777777" w:rsidR="00324A51" w:rsidRDefault="00324A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721C8"/>
    <w:multiLevelType w:val="hybridMultilevel"/>
    <w:tmpl w:val="42E6E7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B0738"/>
    <w:multiLevelType w:val="hybridMultilevel"/>
    <w:tmpl w:val="1F485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53344">
    <w:abstractNumId w:val="5"/>
  </w:num>
  <w:num w:numId="2" w16cid:durableId="1031305249">
    <w:abstractNumId w:val="4"/>
  </w:num>
  <w:num w:numId="3" w16cid:durableId="505218483">
    <w:abstractNumId w:val="3"/>
  </w:num>
  <w:num w:numId="4" w16cid:durableId="1701975654">
    <w:abstractNumId w:val="6"/>
  </w:num>
  <w:num w:numId="5" w16cid:durableId="609900409">
    <w:abstractNumId w:val="8"/>
  </w:num>
  <w:num w:numId="6" w16cid:durableId="1618560763">
    <w:abstractNumId w:val="1"/>
  </w:num>
  <w:num w:numId="7" w16cid:durableId="1468157090">
    <w:abstractNumId w:val="0"/>
  </w:num>
  <w:num w:numId="8" w16cid:durableId="1043868488">
    <w:abstractNumId w:val="7"/>
  </w:num>
  <w:num w:numId="9" w16cid:durableId="52186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7B2D"/>
    <w:rsid w:val="00022B3F"/>
    <w:rsid w:val="00027570"/>
    <w:rsid w:val="00046989"/>
    <w:rsid w:val="00067AAC"/>
    <w:rsid w:val="000945CD"/>
    <w:rsid w:val="00165D46"/>
    <w:rsid w:val="00177E60"/>
    <w:rsid w:val="0018096D"/>
    <w:rsid w:val="00192162"/>
    <w:rsid w:val="001C4E46"/>
    <w:rsid w:val="001D6925"/>
    <w:rsid w:val="001E233F"/>
    <w:rsid w:val="00202215"/>
    <w:rsid w:val="0021019B"/>
    <w:rsid w:val="00221184"/>
    <w:rsid w:val="00237F49"/>
    <w:rsid w:val="002420DE"/>
    <w:rsid w:val="00273C62"/>
    <w:rsid w:val="0028406E"/>
    <w:rsid w:val="0028455E"/>
    <w:rsid w:val="002A54AB"/>
    <w:rsid w:val="002E014C"/>
    <w:rsid w:val="002F414B"/>
    <w:rsid w:val="002F7859"/>
    <w:rsid w:val="00324A51"/>
    <w:rsid w:val="003317C4"/>
    <w:rsid w:val="00356B53"/>
    <w:rsid w:val="003640E2"/>
    <w:rsid w:val="00380016"/>
    <w:rsid w:val="00394F3E"/>
    <w:rsid w:val="003B3743"/>
    <w:rsid w:val="00435C92"/>
    <w:rsid w:val="0043738E"/>
    <w:rsid w:val="00442F10"/>
    <w:rsid w:val="0046720C"/>
    <w:rsid w:val="004B350E"/>
    <w:rsid w:val="004C56D4"/>
    <w:rsid w:val="00506FBB"/>
    <w:rsid w:val="005130A0"/>
    <w:rsid w:val="00523E6B"/>
    <w:rsid w:val="00554896"/>
    <w:rsid w:val="005775F9"/>
    <w:rsid w:val="00580DCD"/>
    <w:rsid w:val="00582088"/>
    <w:rsid w:val="00585863"/>
    <w:rsid w:val="005A3F48"/>
    <w:rsid w:val="005B4372"/>
    <w:rsid w:val="005B5C68"/>
    <w:rsid w:val="005B6DE9"/>
    <w:rsid w:val="006464E8"/>
    <w:rsid w:val="006566AD"/>
    <w:rsid w:val="006604F8"/>
    <w:rsid w:val="00660874"/>
    <w:rsid w:val="006971DC"/>
    <w:rsid w:val="006A16F3"/>
    <w:rsid w:val="006A7128"/>
    <w:rsid w:val="006B28B2"/>
    <w:rsid w:val="006C0B20"/>
    <w:rsid w:val="006D0FBF"/>
    <w:rsid w:val="006D3FB9"/>
    <w:rsid w:val="006E30DD"/>
    <w:rsid w:val="006F2D6A"/>
    <w:rsid w:val="007074D5"/>
    <w:rsid w:val="007219AF"/>
    <w:rsid w:val="0079170B"/>
    <w:rsid w:val="007A1324"/>
    <w:rsid w:val="007B4BD9"/>
    <w:rsid w:val="0080111F"/>
    <w:rsid w:val="00804E0C"/>
    <w:rsid w:val="00835BB3"/>
    <w:rsid w:val="00851EB3"/>
    <w:rsid w:val="00873A5E"/>
    <w:rsid w:val="00877ADD"/>
    <w:rsid w:val="00894131"/>
    <w:rsid w:val="008A4064"/>
    <w:rsid w:val="008A5744"/>
    <w:rsid w:val="008B197F"/>
    <w:rsid w:val="00910718"/>
    <w:rsid w:val="00987EEB"/>
    <w:rsid w:val="009C0270"/>
    <w:rsid w:val="009C7584"/>
    <w:rsid w:val="009F754F"/>
    <w:rsid w:val="00A02518"/>
    <w:rsid w:val="00A124C4"/>
    <w:rsid w:val="00A15607"/>
    <w:rsid w:val="00A235ED"/>
    <w:rsid w:val="00A33A6E"/>
    <w:rsid w:val="00A54070"/>
    <w:rsid w:val="00A70774"/>
    <w:rsid w:val="00A730C9"/>
    <w:rsid w:val="00A85FE8"/>
    <w:rsid w:val="00A86FB4"/>
    <w:rsid w:val="00AB73A8"/>
    <w:rsid w:val="00AD60BD"/>
    <w:rsid w:val="00AD69CD"/>
    <w:rsid w:val="00AF2C33"/>
    <w:rsid w:val="00B11BD1"/>
    <w:rsid w:val="00B21BE0"/>
    <w:rsid w:val="00B754F5"/>
    <w:rsid w:val="00B77C26"/>
    <w:rsid w:val="00B844DD"/>
    <w:rsid w:val="00B8538D"/>
    <w:rsid w:val="00B85A9C"/>
    <w:rsid w:val="00B94F64"/>
    <w:rsid w:val="00BB305F"/>
    <w:rsid w:val="00BC1862"/>
    <w:rsid w:val="00C10D65"/>
    <w:rsid w:val="00C22E86"/>
    <w:rsid w:val="00C47394"/>
    <w:rsid w:val="00C76068"/>
    <w:rsid w:val="00C95370"/>
    <w:rsid w:val="00CA014F"/>
    <w:rsid w:val="00CA0F23"/>
    <w:rsid w:val="00CA2C90"/>
    <w:rsid w:val="00CD2D52"/>
    <w:rsid w:val="00CF4924"/>
    <w:rsid w:val="00D10C68"/>
    <w:rsid w:val="00D11D05"/>
    <w:rsid w:val="00D1603F"/>
    <w:rsid w:val="00D6431E"/>
    <w:rsid w:val="00D95585"/>
    <w:rsid w:val="00DA5A33"/>
    <w:rsid w:val="00DC3C6E"/>
    <w:rsid w:val="00DE5E41"/>
    <w:rsid w:val="00DF1223"/>
    <w:rsid w:val="00DF12D0"/>
    <w:rsid w:val="00DF2EAA"/>
    <w:rsid w:val="00DF6834"/>
    <w:rsid w:val="00E1002B"/>
    <w:rsid w:val="00E12227"/>
    <w:rsid w:val="00E8697A"/>
    <w:rsid w:val="00E93CBD"/>
    <w:rsid w:val="00E94839"/>
    <w:rsid w:val="00EC563B"/>
    <w:rsid w:val="00F00EF2"/>
    <w:rsid w:val="00F079E2"/>
    <w:rsid w:val="00F125B3"/>
    <w:rsid w:val="00F5099A"/>
    <w:rsid w:val="00F57763"/>
    <w:rsid w:val="00F62CE4"/>
    <w:rsid w:val="00F70B0E"/>
    <w:rsid w:val="00FB3C6E"/>
    <w:rsid w:val="00FB3F0D"/>
    <w:rsid w:val="00FB54C1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4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601CC@shorenstei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D5D62-7E06-45BC-9297-4D87A8DD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3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Moving Procedures Template</vt:lpstr>
    </vt:vector>
  </TitlesOfParts>
  <Company>Shorenstein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Moving Procedures Template</dc:title>
  <dc:subject/>
  <dc:creator>Linda Bettencourt</dc:creator>
  <cp:keywords/>
  <dc:description/>
  <cp:lastModifiedBy>Nirmal Patel</cp:lastModifiedBy>
  <cp:revision>2</cp:revision>
  <dcterms:created xsi:type="dcterms:W3CDTF">2025-10-24T20:14:00Z</dcterms:created>
  <dcterms:modified xsi:type="dcterms:W3CDTF">2025-10-24T20:14:00Z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</Properties>
</file>